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4CA46B3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3D3FD7" w:rsidRPr="003D3FD7">
        <w:rPr>
          <w:sz w:val="20"/>
        </w:rPr>
        <w:t>412</w:t>
      </w:r>
      <w:r w:rsidR="00EC3F82">
        <w:rPr>
          <w:bCs/>
          <w:sz w:val="20"/>
        </w:rPr>
        <w:t> </w:t>
      </w:r>
      <w:r w:rsidR="003D3FD7">
        <w:rPr>
          <w:bCs/>
          <w:sz w:val="20"/>
        </w:rPr>
        <w:t>1</w:t>
      </w:r>
      <w:r w:rsidR="00F13AAB" w:rsidRPr="00F13AAB">
        <w:rPr>
          <w:bCs/>
          <w:sz w:val="20"/>
        </w:rPr>
        <w:t>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617A464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F13AAB">
        <w:rPr>
          <w:bCs/>
          <w:sz w:val="20"/>
        </w:rPr>
        <w:t>10</w:t>
      </w:r>
      <w:r w:rsidR="003D3FD7">
        <w:rPr>
          <w:bCs/>
          <w:sz w:val="20"/>
        </w:rPr>
        <w:t>8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6F143D4D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3D3FD7">
        <w:rPr>
          <w:b w:val="0"/>
          <w:sz w:val="20"/>
        </w:rPr>
        <w:t>10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4D4948">
        <w:t>Чодра</w:t>
      </w:r>
      <w:proofErr w:type="spellEnd"/>
      <w:r w:rsidR="004D4948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3FB1D656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3D3FD7">
        <w:rPr>
          <w:b w:val="0"/>
          <w:sz w:val="20"/>
        </w:rPr>
        <w:t>10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3A765F2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3D3FD7">
        <w:rPr>
          <w:bCs/>
          <w:sz w:val="20"/>
        </w:rPr>
        <w:t>7</w:t>
      </w:r>
      <w:r w:rsidR="00E53E11">
        <w:rPr>
          <w:bCs/>
          <w:sz w:val="20"/>
        </w:rPr>
        <w:t xml:space="preserve"> </w:t>
      </w:r>
      <w:r w:rsidR="003D3FD7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3D3FD7">
        <w:rPr>
          <w:sz w:val="20"/>
        </w:rPr>
        <w:t>Семь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3D3FD7">
        <w:rPr>
          <w:sz w:val="20"/>
        </w:rPr>
        <w:t>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2532340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D371FA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96105" w14:textId="77777777" w:rsidR="000E4AD2" w:rsidRDefault="000E4AD2">
      <w:r>
        <w:separator/>
      </w:r>
    </w:p>
  </w:endnote>
  <w:endnote w:type="continuationSeparator" w:id="0">
    <w:p w14:paraId="75BB0BA2" w14:textId="77777777" w:rsidR="000E4AD2" w:rsidRDefault="000E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50F55" w14:textId="77777777" w:rsidR="000E4AD2" w:rsidRDefault="000E4AD2">
      <w:r>
        <w:separator/>
      </w:r>
    </w:p>
  </w:footnote>
  <w:footnote w:type="continuationSeparator" w:id="0">
    <w:p w14:paraId="49090395" w14:textId="77777777" w:rsidR="000E4AD2" w:rsidRDefault="000E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FD7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635337277">
    <w:abstractNumId w:val="13"/>
  </w:num>
  <w:num w:numId="2" w16cid:durableId="1721172260">
    <w:abstractNumId w:val="21"/>
  </w:num>
  <w:num w:numId="3" w16cid:durableId="1704096170">
    <w:abstractNumId w:val="27"/>
  </w:num>
  <w:num w:numId="4" w16cid:durableId="704797525">
    <w:abstractNumId w:val="1"/>
  </w:num>
  <w:num w:numId="5" w16cid:durableId="1937593293">
    <w:abstractNumId w:val="20"/>
  </w:num>
  <w:num w:numId="6" w16cid:durableId="2118014574">
    <w:abstractNumId w:val="6"/>
  </w:num>
  <w:num w:numId="7" w16cid:durableId="1545210363">
    <w:abstractNumId w:val="3"/>
  </w:num>
  <w:num w:numId="8" w16cid:durableId="696738397">
    <w:abstractNumId w:val="12"/>
  </w:num>
  <w:num w:numId="9" w16cid:durableId="1326012616">
    <w:abstractNumId w:val="22"/>
  </w:num>
  <w:num w:numId="10" w16cid:durableId="1734306463">
    <w:abstractNumId w:val="5"/>
  </w:num>
  <w:num w:numId="11" w16cid:durableId="1770655889">
    <w:abstractNumId w:val="14"/>
  </w:num>
  <w:num w:numId="12" w16cid:durableId="246576277">
    <w:abstractNumId w:val="23"/>
  </w:num>
  <w:num w:numId="13" w16cid:durableId="1306812967">
    <w:abstractNumId w:val="8"/>
  </w:num>
  <w:num w:numId="14" w16cid:durableId="325666293">
    <w:abstractNumId w:val="17"/>
  </w:num>
  <w:num w:numId="15" w16cid:durableId="1668361998">
    <w:abstractNumId w:val="9"/>
  </w:num>
  <w:num w:numId="16" w16cid:durableId="209196238">
    <w:abstractNumId w:val="26"/>
  </w:num>
  <w:num w:numId="17" w16cid:durableId="1806584523">
    <w:abstractNumId w:val="7"/>
  </w:num>
  <w:num w:numId="18" w16cid:durableId="540557931">
    <w:abstractNumId w:val="4"/>
  </w:num>
  <w:num w:numId="19" w16cid:durableId="815561743">
    <w:abstractNumId w:val="24"/>
  </w:num>
  <w:num w:numId="20" w16cid:durableId="1514802461">
    <w:abstractNumId w:val="10"/>
  </w:num>
  <w:num w:numId="21" w16cid:durableId="119079755">
    <w:abstractNumId w:val="0"/>
  </w:num>
  <w:num w:numId="22" w16cid:durableId="1655599553">
    <w:abstractNumId w:val="2"/>
  </w:num>
  <w:num w:numId="23" w16cid:durableId="1189567848">
    <w:abstractNumId w:val="15"/>
  </w:num>
  <w:num w:numId="24" w16cid:durableId="949973628">
    <w:abstractNumId w:val="19"/>
  </w:num>
  <w:num w:numId="25" w16cid:durableId="1884900757">
    <w:abstractNumId w:val="18"/>
  </w:num>
  <w:num w:numId="26" w16cid:durableId="1099838701">
    <w:abstractNumId w:val="16"/>
  </w:num>
  <w:num w:numId="27" w16cid:durableId="1407260652">
    <w:abstractNumId w:val="25"/>
  </w:num>
  <w:num w:numId="28" w16cid:durableId="16137025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2E5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AD2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D3FD7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37C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055A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1474C"/>
    <w:rsid w:val="00C14773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1FA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3F82"/>
    <w:rsid w:val="00EC6C4B"/>
    <w:rsid w:val="00EC797B"/>
    <w:rsid w:val="00EF3C91"/>
    <w:rsid w:val="00EF64DB"/>
    <w:rsid w:val="00F0080C"/>
    <w:rsid w:val="00F04075"/>
    <w:rsid w:val="00F07807"/>
    <w:rsid w:val="00F10C1B"/>
    <w:rsid w:val="00F13AAB"/>
    <w:rsid w:val="00F15630"/>
    <w:rsid w:val="00F22AF2"/>
    <w:rsid w:val="00F22C5D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3FD2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90B0939C-C833-4A10-9540-D4B32918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2025-06-03T10:41:00Z</dcterms:created>
  <dcterms:modified xsi:type="dcterms:W3CDTF">2025-08-20T14:47:00Z</dcterms:modified>
</cp:coreProperties>
</file>