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Постановление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28</w:t>
      </w:r>
      <w:r w:rsidR="00891E3E">
        <w:rPr>
          <w:rFonts w:ascii="Times New Roman" w:hAnsi="Times New Roman" w:cs="Times New Roman"/>
          <w:sz w:val="24"/>
          <w:szCs w:val="24"/>
        </w:rPr>
        <w:t xml:space="preserve"> ноября 2025 года № 204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расположенный по адресу:</w:t>
      </w:r>
      <w:r>
        <w:rPr>
          <w:color w:val="000000"/>
          <w:sz w:val="24"/>
          <w:szCs w:val="24"/>
          <w:lang w:bidi="ru-RU"/>
        </w:rPr>
        <w:t xml:space="preserve"> </w:t>
      </w:r>
      <w:r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</w:t>
      </w:r>
      <w:r>
        <w:rPr>
          <w:color w:val="000000"/>
          <w:sz w:val="24"/>
          <w:szCs w:val="24"/>
          <w:lang w:bidi="ru-RU"/>
        </w:rPr>
        <w:t xml:space="preserve">, ул. </w:t>
      </w:r>
      <w:r w:rsidR="00E42E17">
        <w:rPr>
          <w:color w:val="000000"/>
          <w:sz w:val="24"/>
          <w:szCs w:val="24"/>
          <w:lang w:bidi="ru-RU"/>
        </w:rPr>
        <w:t>Заречная, д.4</w:t>
      </w:r>
      <w:r w:rsidR="00D12CE2">
        <w:rPr>
          <w:color w:val="000000"/>
          <w:sz w:val="24"/>
          <w:szCs w:val="24"/>
          <w:lang w:bidi="ru-RU"/>
        </w:rPr>
        <w:t xml:space="preserve">, </w:t>
      </w:r>
      <w:r w:rsidR="00E42E17">
        <w:rPr>
          <w:color w:val="000000"/>
          <w:sz w:val="24"/>
          <w:szCs w:val="24"/>
          <w:lang w:bidi="ru-RU"/>
        </w:rPr>
        <w:t>1990</w:t>
      </w:r>
      <w:r w:rsidR="00D12CE2">
        <w:rPr>
          <w:color w:val="000000"/>
          <w:sz w:val="24"/>
          <w:szCs w:val="24"/>
          <w:lang w:bidi="ru-RU"/>
        </w:rPr>
        <w:t xml:space="preserve"> года постройки, 5-</w:t>
      </w:r>
      <w:r w:rsidR="00E42E17">
        <w:rPr>
          <w:color w:val="000000"/>
          <w:sz w:val="24"/>
          <w:szCs w:val="24"/>
          <w:lang w:bidi="ru-RU"/>
        </w:rPr>
        <w:t>ти этажный, количество квартир 6</w:t>
      </w:r>
      <w:r w:rsidR="00D12CE2">
        <w:rPr>
          <w:color w:val="000000"/>
          <w:sz w:val="24"/>
          <w:szCs w:val="24"/>
          <w:lang w:bidi="ru-RU"/>
        </w:rPr>
        <w:t xml:space="preserve">0, общая площадь квартир </w:t>
      </w:r>
      <w:r w:rsidR="00E42E17">
        <w:rPr>
          <w:color w:val="000000"/>
          <w:sz w:val="24"/>
          <w:szCs w:val="24"/>
          <w:lang w:bidi="ru-RU"/>
        </w:rPr>
        <w:t>2814,5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д.5, 1992 года постройки, 5-ти этажный, количество квартир 59, общая площадь квартир 2395,3 кв.м.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>
        <w:rPr>
          <w:color w:val="000000"/>
          <w:sz w:val="24"/>
          <w:szCs w:val="24"/>
          <w:lang w:bidi="ru-RU"/>
        </w:rPr>
        <w:t xml:space="preserve"> 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д.6, 1990 года постройки, 5-ти этажный, количество квартир 30, общая площадь квартир1407,6 кв.м.</w:t>
      </w:r>
    </w:p>
    <w:p w:rsidR="00E42E17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 xml:space="preserve">Мочалище, ул. Школьная, д.17, 1963 года постройки, 2-х этажный, количество квартир 8, общая площадь квартир 399,64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д.19, 1962 года постройки, 2-х этажный, количество квартир 8, общая площадь квартир 358,1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>
        <w:rPr>
          <w:color w:val="000000"/>
          <w:sz w:val="24"/>
          <w:szCs w:val="24"/>
          <w:lang w:bidi="ru-RU"/>
        </w:rPr>
        <w:t xml:space="preserve">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д.20а, 1963 года постройки, 2-х этажный, количество квартир 8, общая площадь квартир 351,8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д.20б, 1967 года постройки, 2-х этажный, количество квартир 8, общая площадь квартир 386,1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д.21, 1963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356,</w:t>
      </w:r>
      <w:r w:rsidR="00FC4521">
        <w:rPr>
          <w:color w:val="000000"/>
          <w:sz w:val="24"/>
          <w:szCs w:val="24"/>
          <w:lang w:bidi="ru-RU"/>
        </w:rPr>
        <w:t xml:space="preserve">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д.22а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1959</w:t>
      </w:r>
      <w:r w:rsidR="00FC4521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383,0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C53289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д.23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1978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30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1349,0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д.25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1985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60</w:t>
      </w:r>
      <w:r w:rsidR="00FC4521">
        <w:rPr>
          <w:color w:val="000000"/>
          <w:sz w:val="24"/>
          <w:szCs w:val="24"/>
          <w:lang w:bidi="ru-RU"/>
        </w:rPr>
        <w:t xml:space="preserve">, общая </w:t>
      </w:r>
      <w:r w:rsidR="00FC4521">
        <w:rPr>
          <w:color w:val="000000"/>
          <w:sz w:val="24"/>
          <w:szCs w:val="24"/>
          <w:lang w:bidi="ru-RU"/>
        </w:rPr>
        <w:lastRenderedPageBreak/>
        <w:t xml:space="preserve">площадь квартир </w:t>
      </w:r>
      <w:r w:rsidR="00A26D4C">
        <w:rPr>
          <w:color w:val="000000"/>
          <w:sz w:val="24"/>
          <w:szCs w:val="24"/>
          <w:lang w:bidi="ru-RU"/>
        </w:rPr>
        <w:t>2834,1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13D2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>Мочалище, ул. Школьная, д.</w:t>
      </w:r>
      <w:r w:rsidR="00A26D4C">
        <w:rPr>
          <w:color w:val="000000"/>
          <w:sz w:val="24"/>
          <w:szCs w:val="24"/>
          <w:lang w:bidi="ru-RU"/>
        </w:rPr>
        <w:t>2</w:t>
      </w:r>
      <w:r w:rsidR="00FC4521">
        <w:rPr>
          <w:color w:val="000000"/>
          <w:sz w:val="24"/>
          <w:szCs w:val="24"/>
          <w:lang w:bidi="ru-RU"/>
        </w:rPr>
        <w:t xml:space="preserve">7, </w:t>
      </w:r>
      <w:r w:rsidR="00A26D4C">
        <w:rPr>
          <w:color w:val="000000"/>
          <w:sz w:val="24"/>
          <w:szCs w:val="24"/>
          <w:lang w:bidi="ru-RU"/>
        </w:rPr>
        <w:t>1988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90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4742,0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64ABF">
        <w:rPr>
          <w:color w:val="000000"/>
          <w:sz w:val="24"/>
          <w:szCs w:val="24"/>
          <w:lang w:bidi="ru-RU"/>
        </w:rPr>
        <w:t xml:space="preserve"> </w:t>
      </w:r>
      <w:r w:rsidR="00A26D4C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A26D4C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A26D4C">
        <w:rPr>
          <w:color w:val="000000"/>
          <w:sz w:val="24"/>
          <w:szCs w:val="24"/>
          <w:lang w:bidi="ru-RU"/>
        </w:rPr>
        <w:t>Мочалище, ул. Школьная, д.34, 1989 года постройки, 5-ти этажный, количество квартир 32, общая площадь квартир 1605,9 кв.м.</w:t>
      </w:r>
    </w:p>
    <w:p w:rsidR="007637D6" w:rsidRDefault="00A13D2F" w:rsidP="007637D6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 xml:space="preserve">Мочалище, ул. Комсомольская, д.1а, 1968 года постройки, 2-х этажный, количество квартир 8, общая площадь квартир 376,0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д.1б, 1968 года постройки, 2-х этажный, количество квартир 8, общая площадь квартир 367,5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д.1в, 1972 года постройки, 2-х этажный, количество квартир 16, общая площадь квартир 795,4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>
        <w:rPr>
          <w:color w:val="000000"/>
          <w:sz w:val="24"/>
          <w:szCs w:val="24"/>
          <w:lang w:bidi="ru-RU"/>
        </w:rPr>
        <w:t xml:space="preserve"> </w:t>
      </w:r>
      <w:r w:rsidR="007637D6">
        <w:rPr>
          <w:color w:val="000000"/>
          <w:sz w:val="24"/>
          <w:szCs w:val="24"/>
          <w:lang w:bidi="ru-RU"/>
        </w:rPr>
        <w:t xml:space="preserve">МКД расположенный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д.1г, 1974 года постройки, 2-х этажный, количество квартир 16, общая площадь квартир 797,4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д.4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д.5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д.6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д.17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д.19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д.20а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д.20б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д.21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д.22а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д.23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д.25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д.27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д.34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д.1а</w:t>
            </w:r>
          </w:p>
          <w:p w:rsidR="00A324AB" w:rsidRPr="002548FB" w:rsidRDefault="00A324A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д.1б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д.1в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д.1г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3C28F3" w:rsidRDefault="0091359C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91359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E1E27" w:rsidRPr="0091359C">
        <w:rPr>
          <w:rFonts w:ascii="Times New Roman" w:hAnsi="Times New Roman" w:cs="Times New Roman"/>
          <w:sz w:val="24"/>
          <w:szCs w:val="24"/>
        </w:rPr>
        <w:t>;</w:t>
      </w:r>
      <w:r w:rsidR="003C28F3" w:rsidRPr="0091359C">
        <w:rPr>
          <w:rFonts w:ascii="Times New Roman" w:hAnsi="Times New Roman" w:cs="Times New Roman"/>
          <w:sz w:val="24"/>
          <w:szCs w:val="24"/>
        </w:rPr>
        <w:t xml:space="preserve"> </w:t>
      </w:r>
      <w:r w:rsidR="003C28F3" w:rsidRPr="0091359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C28F3" w:rsidRPr="0091359C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3C28F3" w:rsidRPr="0091359C">
        <w:rPr>
          <w:rFonts w:ascii="Times New Roman" w:hAnsi="Times New Roman" w:cs="Times New Roman"/>
          <w:sz w:val="24"/>
          <w:szCs w:val="24"/>
          <w:lang w:val="en-US"/>
        </w:rPr>
        <w:t>admzven</w:t>
      </w:r>
      <w:proofErr w:type="spellEnd"/>
      <w:r w:rsidR="003C28F3" w:rsidRPr="009135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28F3" w:rsidRPr="0091359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28F3" w:rsidRPr="0091359C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p w:rsidR="002E1E27" w:rsidRPr="00A324AB" w:rsidRDefault="002E1E27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Конкурсную документацию можно получить в рабочие дни с « 09» декабря 2025г. по </w:t>
      </w:r>
      <w:r w:rsidR="001F51A4" w:rsidRPr="00A324AB">
        <w:rPr>
          <w:rFonts w:ascii="Times New Roman" w:hAnsi="Times New Roman" w:cs="Times New Roman"/>
          <w:sz w:val="24"/>
          <w:szCs w:val="24"/>
        </w:rPr>
        <w:t xml:space="preserve">«12» </w:t>
      </w:r>
      <w:r w:rsidR="00221DB9" w:rsidRPr="00A324AB">
        <w:rPr>
          <w:rFonts w:ascii="Times New Roman" w:hAnsi="Times New Roman" w:cs="Times New Roman"/>
          <w:sz w:val="24"/>
          <w:szCs w:val="24"/>
        </w:rPr>
        <w:t>января 2026года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</w:t>
      </w:r>
      <w:r w:rsidR="00DC5C6F" w:rsidRPr="00A324AB">
        <w:rPr>
          <w:rFonts w:ascii="Times New Roman" w:hAnsi="Times New Roman" w:cs="Times New Roman"/>
          <w:sz w:val="24"/>
          <w:szCs w:val="24"/>
        </w:rPr>
        <w:t>в письменном или электронном виде  по адресу: Республика Марий Эл, Звениговский район, пгт Суслонгер, ул. Железнодорожная, д.60</w:t>
      </w:r>
      <w:r w:rsidR="00A324AB" w:rsidRPr="00A324AB">
        <w:rPr>
          <w:rFonts w:ascii="Times New Roman" w:hAnsi="Times New Roman" w:cs="Times New Roman"/>
          <w:sz w:val="24"/>
          <w:szCs w:val="24"/>
        </w:rPr>
        <w:t>, кааб. № 3</w:t>
      </w:r>
      <w:r w:rsidR="00DC5C6F" w:rsidRPr="00A324AB">
        <w:rPr>
          <w:rFonts w:ascii="Times New Roman" w:hAnsi="Times New Roman" w:cs="Times New Roman"/>
          <w:sz w:val="24"/>
          <w:szCs w:val="24"/>
        </w:rPr>
        <w:t>, ежедневно (кр</w:t>
      </w:r>
      <w:r w:rsidR="007649BC" w:rsidRPr="00A324AB">
        <w:rPr>
          <w:rFonts w:ascii="Times New Roman" w:hAnsi="Times New Roman" w:cs="Times New Roman"/>
          <w:sz w:val="24"/>
          <w:szCs w:val="24"/>
        </w:rPr>
        <w:t>оме выходных и праздничных дней</w:t>
      </w:r>
      <w:r w:rsidR="00DC5C6F" w:rsidRPr="00A324AB">
        <w:rPr>
          <w:rFonts w:ascii="Times New Roman" w:hAnsi="Times New Roman" w:cs="Times New Roman"/>
          <w:sz w:val="24"/>
          <w:szCs w:val="24"/>
        </w:rPr>
        <w:t>) с 8-00 до 17-00, перерыв с 12-00 до 13-00, без взимания платы, на основании письменного заявления.</w:t>
      </w:r>
    </w:p>
    <w:p w:rsidR="00DC5C6F" w:rsidRPr="00A324AB" w:rsidRDefault="00DC5C6F" w:rsidP="000156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 порядок и срок подачи заявок</w:t>
      </w:r>
      <w:r w:rsidRPr="00A324AB">
        <w:rPr>
          <w:rFonts w:ascii="Times New Roman" w:hAnsi="Times New Roman" w:cs="Times New Roman"/>
          <w:sz w:val="24"/>
          <w:szCs w:val="24"/>
        </w:rPr>
        <w:t>: по адресу: Республика Марий Эл, Звениговский район, пгт Суслонгер, ул. Железнодорожная, д.60,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кааб. № </w:t>
      </w:r>
      <w:proofErr w:type="gramStart"/>
      <w:r w:rsidR="00A324AB" w:rsidRPr="00A324AB">
        <w:rPr>
          <w:rFonts w:ascii="Times New Roman" w:hAnsi="Times New Roman" w:cs="Times New Roman"/>
          <w:sz w:val="24"/>
          <w:szCs w:val="24"/>
        </w:rPr>
        <w:t>3</w:t>
      </w:r>
      <w:r w:rsidRPr="00A324AB">
        <w:rPr>
          <w:rFonts w:ascii="Times New Roman" w:hAnsi="Times New Roman" w:cs="Times New Roman"/>
          <w:sz w:val="24"/>
          <w:szCs w:val="24"/>
        </w:rPr>
        <w:t xml:space="preserve">  заявки</w:t>
      </w:r>
      <w:proofErr w:type="gramEnd"/>
      <w:r w:rsidRPr="00A324AB">
        <w:rPr>
          <w:rFonts w:ascii="Times New Roman" w:hAnsi="Times New Roman" w:cs="Times New Roman"/>
          <w:sz w:val="24"/>
          <w:szCs w:val="24"/>
        </w:rPr>
        <w:t xml:space="preserve"> принимаются с 09» декабря 2025г. по  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«12» января 2026года до </w:t>
      </w:r>
      <w:r w:rsidR="00A324AB" w:rsidRPr="00A324AB">
        <w:rPr>
          <w:rFonts w:ascii="Times New Roman" w:hAnsi="Times New Roman" w:cs="Times New Roman"/>
          <w:sz w:val="24"/>
          <w:szCs w:val="24"/>
        </w:rPr>
        <w:t>10</w:t>
      </w:r>
      <w:r w:rsidR="0072109F" w:rsidRPr="00A324AB">
        <w:rPr>
          <w:rFonts w:ascii="Times New Roman" w:hAnsi="Times New Roman" w:cs="Times New Roman"/>
          <w:sz w:val="24"/>
          <w:szCs w:val="24"/>
        </w:rPr>
        <w:t>.00 часов в письменном виде ежедневно (кроме выходных и праздничных дней) с 8-00 до 17-00, перерыв с 12-00 до 13-00.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B" w:rsidRPr="00A324A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324AB" w:rsidRPr="00A324AB">
        <w:rPr>
          <w:rFonts w:ascii="Times New Roman" w:hAnsi="Times New Roman" w:cs="Times New Roman"/>
          <w:sz w:val="24"/>
          <w:szCs w:val="24"/>
        </w:rPr>
        <w:t>. № 3</w:t>
      </w:r>
      <w:r w:rsidRPr="00A324AB">
        <w:rPr>
          <w:rFonts w:ascii="Times New Roman" w:hAnsi="Times New Roman" w:cs="Times New Roman"/>
          <w:sz w:val="24"/>
          <w:szCs w:val="24"/>
        </w:rPr>
        <w:t xml:space="preserve"> «12» января 2026 года в 1</w:t>
      </w:r>
      <w:r w:rsidR="00A324AB" w:rsidRPr="00A324AB">
        <w:rPr>
          <w:rFonts w:ascii="Times New Roman" w:hAnsi="Times New Roman" w:cs="Times New Roman"/>
          <w:sz w:val="24"/>
          <w:szCs w:val="24"/>
        </w:rPr>
        <w:t>1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</w:t>
      </w:r>
      <w:r w:rsidR="00A324AB" w:rsidRPr="00A324AB">
        <w:rPr>
          <w:rFonts w:ascii="Times New Roman" w:hAnsi="Times New Roman" w:cs="Times New Roman"/>
          <w:sz w:val="24"/>
          <w:szCs w:val="24"/>
        </w:rPr>
        <w:t>д.60, «12» января 2026 года в 13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825711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 w:rsidRPr="00A324AB">
        <w:rPr>
          <w:rFonts w:ascii="Times New Roman" w:hAnsi="Times New Roman" w:cs="Times New Roman"/>
          <w:sz w:val="24"/>
          <w:szCs w:val="24"/>
        </w:rPr>
        <w:t xml:space="preserve"> </w:t>
      </w:r>
      <w:r w:rsidR="00825711" w:rsidRPr="00A324AB">
        <w:rPr>
          <w:rFonts w:ascii="Times New Roman" w:hAnsi="Times New Roman" w:cs="Times New Roman"/>
          <w:sz w:val="24"/>
          <w:szCs w:val="24"/>
        </w:rPr>
        <w:t>Республика Марий Эл, Звениговский район, пгт Суслонгер, ул. Железнодорожная, д.60, «</w:t>
      </w:r>
      <w:r w:rsidR="00A324AB" w:rsidRPr="00A324AB">
        <w:rPr>
          <w:rFonts w:ascii="Times New Roman" w:hAnsi="Times New Roman" w:cs="Times New Roman"/>
          <w:sz w:val="24"/>
          <w:szCs w:val="24"/>
        </w:rPr>
        <w:t>13» января 2026 года в 15</w:t>
      </w:r>
      <w:r w:rsidR="00825711"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825711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3984"/>
      </w:tblGrid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Размер обеспечения заявки, руб.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 w:rsidRPr="00B139FD">
              <w:rPr>
                <w:sz w:val="22"/>
                <w:szCs w:val="22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2744,14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2359,37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1400,56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388,85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348,97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339,66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370,64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344,10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367,68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1319,32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2834,10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4860,55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1605,90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371,11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362,72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788,24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788,63</w:t>
            </w:r>
          </w:p>
        </w:tc>
      </w:tr>
    </w:tbl>
    <w:p w:rsidR="00461484" w:rsidRPr="004E205A" w:rsidRDefault="0046148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61484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CF1"/>
    <w:multiLevelType w:val="hybridMultilevel"/>
    <w:tmpl w:val="8A741326"/>
    <w:lvl w:ilvl="0" w:tplc="E980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49"/>
    <w:rsid w:val="0001565D"/>
    <w:rsid w:val="000773A5"/>
    <w:rsid w:val="000C3350"/>
    <w:rsid w:val="001707B6"/>
    <w:rsid w:val="001B7BC5"/>
    <w:rsid w:val="001F51A4"/>
    <w:rsid w:val="00221DB9"/>
    <w:rsid w:val="002515FC"/>
    <w:rsid w:val="002548FB"/>
    <w:rsid w:val="00260264"/>
    <w:rsid w:val="002E1E27"/>
    <w:rsid w:val="00333590"/>
    <w:rsid w:val="003C28F3"/>
    <w:rsid w:val="00461484"/>
    <w:rsid w:val="004C3874"/>
    <w:rsid w:val="004E205A"/>
    <w:rsid w:val="00704DEA"/>
    <w:rsid w:val="0072109F"/>
    <w:rsid w:val="007532CA"/>
    <w:rsid w:val="007637D6"/>
    <w:rsid w:val="007649BC"/>
    <w:rsid w:val="0076508B"/>
    <w:rsid w:val="007669C2"/>
    <w:rsid w:val="007E037B"/>
    <w:rsid w:val="00825711"/>
    <w:rsid w:val="00891E3E"/>
    <w:rsid w:val="00894EBB"/>
    <w:rsid w:val="008D6FC7"/>
    <w:rsid w:val="0091359C"/>
    <w:rsid w:val="009468C2"/>
    <w:rsid w:val="009B6491"/>
    <w:rsid w:val="00A13D2F"/>
    <w:rsid w:val="00A26D4C"/>
    <w:rsid w:val="00A324AB"/>
    <w:rsid w:val="00A363F9"/>
    <w:rsid w:val="00A36544"/>
    <w:rsid w:val="00A64ABF"/>
    <w:rsid w:val="00B42B8F"/>
    <w:rsid w:val="00B544B5"/>
    <w:rsid w:val="00B95D80"/>
    <w:rsid w:val="00C15B49"/>
    <w:rsid w:val="00C313A5"/>
    <w:rsid w:val="00C53289"/>
    <w:rsid w:val="00D12CE2"/>
    <w:rsid w:val="00DC5C6F"/>
    <w:rsid w:val="00E12C93"/>
    <w:rsid w:val="00E42E17"/>
    <w:rsid w:val="00E85AF0"/>
    <w:rsid w:val="00FC452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2FFFC-F622-4C69-BD21-4245C3E4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lon.adm@mari-el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2518-4B9E-456B-A0F6-3672D5D7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Roma</cp:lastModifiedBy>
  <cp:revision>2</cp:revision>
  <dcterms:created xsi:type="dcterms:W3CDTF">2025-12-08T05:42:00Z</dcterms:created>
  <dcterms:modified xsi:type="dcterms:W3CDTF">2025-12-08T05:42:00Z</dcterms:modified>
</cp:coreProperties>
</file>