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3612"/>
        <w:tblLayout w:type="fixed"/>
      </w:tblPr>
      <w:tblGrid>
        <w:gridCol w:w="1896"/>
      </w:tblGrid>
      <w:tr>
        <w:trPr>
          <w:trHeight w:hRule="atLeast" w:val="1346"/>
        </w:trPr>
        <w:tc>
          <w:tcPr>
            <w:tcW w:type="dxa" w:w="1896"/>
            <w:vAlign w:val="center"/>
          </w:tcPr>
          <w:p w14:paraId="01000000">
            <w:pPr>
              <w:widowControl w:val="1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716280" cy="83058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16280" cy="8305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00000">
      <w:pPr>
        <w:widowControl w:val="1"/>
        <w:spacing w:after="0" w:line="240" w:lineRule="auto"/>
        <w:ind/>
        <w:rPr>
          <w:rFonts w:ascii="Times New Roman" w:hAnsi="Times New Roman"/>
          <w:sz w:val="4"/>
        </w:rPr>
      </w:pPr>
    </w:p>
    <w:tbl>
      <w:tblPr>
        <w:tblStyle w:val="Style_1"/>
        <w:tblW w:type="auto" w:w="0"/>
        <w:tblInd w:type="dxa" w:w="36"/>
        <w:tblBorders>
          <w:top w:color="000000" w:sz="4" w:val="single"/>
        </w:tblBorders>
        <w:tblLayout w:type="fixed"/>
      </w:tblPr>
      <w:tblGrid>
        <w:gridCol w:w="4488"/>
        <w:gridCol w:w="240"/>
        <w:gridCol w:w="4239"/>
      </w:tblGrid>
      <w:tr>
        <w:tc>
          <w:tcPr>
            <w:tcW w:type="dxa" w:w="4488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03000000">
            <w:pPr>
              <w:widowControl w:val="1"/>
              <w:spacing w:after="0" w:line="252" w:lineRule="auto"/>
              <w:ind/>
              <w:jc w:val="center"/>
              <w:rPr>
                <w:rFonts w:ascii="Times New Roman" w:hAnsi="Times New Roman"/>
                <w:b w:val="1"/>
                <w:spacing w:val="-10"/>
                <w:sz w:val="28"/>
              </w:rPr>
            </w:pPr>
            <w:r>
              <w:rPr>
                <w:rFonts w:ascii="Times New Roman" w:hAnsi="Times New Roman"/>
                <w:b w:val="1"/>
                <w:spacing w:val="-10"/>
                <w:sz w:val="28"/>
              </w:rPr>
              <w:t>ЗВЕНИГОВ</w:t>
            </w:r>
            <w:r>
              <w:rPr>
                <w:rFonts w:ascii="Times New Roman" w:hAnsi="Times New Roman"/>
                <w:b w:val="1"/>
                <w:spacing w:val="-10"/>
                <w:sz w:val="28"/>
              </w:rPr>
              <w:t>О</w:t>
            </w:r>
          </w:p>
          <w:p w14:paraId="04000000">
            <w:pPr>
              <w:widowControl w:val="1"/>
              <w:spacing w:after="0" w:line="252" w:lineRule="auto"/>
              <w:ind/>
              <w:jc w:val="center"/>
              <w:rPr>
                <w:rFonts w:ascii="Times New Roman" w:hAnsi="Times New Roman"/>
                <w:b w:val="1"/>
                <w:spacing w:val="-10"/>
                <w:sz w:val="28"/>
              </w:rPr>
            </w:pPr>
            <w:r>
              <w:rPr>
                <w:rFonts w:ascii="Times New Roman" w:hAnsi="Times New Roman"/>
                <w:b w:val="1"/>
                <w:spacing w:val="-10"/>
                <w:sz w:val="28"/>
              </w:rPr>
              <w:t xml:space="preserve">МУНИЦИПАЛ РАЙОНЫН  </w:t>
            </w:r>
          </w:p>
          <w:p w14:paraId="05000000">
            <w:pPr>
              <w:widowControl w:val="1"/>
              <w:spacing w:after="0" w:line="252" w:lineRule="auto"/>
              <w:ind/>
              <w:jc w:val="center"/>
              <w:rPr>
                <w:rFonts w:ascii="Times New Roman" w:hAnsi="Times New Roman"/>
                <w:b w:val="1"/>
                <w:spacing w:val="-10"/>
                <w:sz w:val="28"/>
              </w:rPr>
            </w:pPr>
            <w:r>
              <w:rPr>
                <w:rFonts w:ascii="Times New Roman" w:hAnsi="Times New Roman"/>
                <w:b w:val="1"/>
                <w:spacing w:val="-10"/>
                <w:sz w:val="28"/>
              </w:rPr>
              <w:t>ВУЙЛАТЫШ</w:t>
            </w:r>
          </w:p>
        </w:tc>
        <w:tc>
          <w:tcPr>
            <w:tcW w:type="dxa" w:w="2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6000000">
            <w:pPr>
              <w:widowControl w:val="1"/>
              <w:spacing w:after="0" w:line="252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widowControl w:val="1"/>
              <w:spacing w:after="0" w:line="252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ГЛАВА</w:t>
            </w:r>
          </w:p>
          <w:p w14:paraId="08000000">
            <w:pPr>
              <w:widowControl w:val="1"/>
              <w:spacing w:after="0" w:line="252" w:lineRule="auto"/>
              <w:ind/>
              <w:jc w:val="center"/>
              <w:rPr>
                <w:rFonts w:ascii="Times New Roman" w:hAnsi="Times New Roman"/>
                <w:b w:val="1"/>
                <w:spacing w:val="-6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ЗВЕНИГОВСКОГО МУНИЦИПАЛЬНОГО РАЙОНА</w:t>
            </w:r>
          </w:p>
          <w:p w14:paraId="09000000">
            <w:pPr>
              <w:widowControl w:val="1"/>
              <w:spacing w:after="0" w:line="252" w:lineRule="auto"/>
              <w:ind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14:paraId="0A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center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48"/>
        <w:gridCol w:w="4707"/>
      </w:tblGrid>
      <w:tr>
        <w:tc>
          <w:tcPr>
            <w:tcW w:type="dxa" w:w="46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B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ПУНЧАЛ</w:t>
            </w:r>
          </w:p>
        </w:tc>
        <w:tc>
          <w:tcPr>
            <w:tcW w:type="dxa" w:w="47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C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ПОСТАНОВЛЕНИЕ</w:t>
            </w:r>
          </w:p>
        </w:tc>
      </w:tr>
    </w:tbl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E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1</w:t>
            </w:r>
          </w:p>
        </w:tc>
        <w:tc>
          <w:tcPr>
            <w:tcW w:type="dxa" w:w="46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F000000">
            <w:pPr>
              <w:widowControl w:val="1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09</w:t>
            </w:r>
            <w:r>
              <w:rPr>
                <w:rFonts w:ascii="Times New Roman" w:hAnsi="Times New Roman"/>
                <w:b w:val="1"/>
                <w:sz w:val="28"/>
              </w:rPr>
              <w:t xml:space="preserve"> января 2025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года</w:t>
            </w:r>
          </w:p>
        </w:tc>
      </w:tr>
    </w:tbl>
    <w:p w14:paraId="1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 плане </w:t>
      </w:r>
    </w:p>
    <w:p w14:paraId="1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противодействия коррупционным проявлениям в Собрании депутатов Звениговского муниципального района Республики Марий Эл</w:t>
      </w:r>
    </w:p>
    <w:p w14:paraId="1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1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На основании  Федерального закона от 25.12.2008 года №273-ФЗ «О противодействии коррупции», в целях исполнения Указа Президента РФ от 16.08.2021 N 478 "О Национальном плане противодействия коррупции на 2021 - 2024 годы", </w:t>
      </w:r>
      <w:r>
        <w:rPr>
          <w:rFonts w:ascii="Times New Roman" w:hAnsi="Times New Roman"/>
          <w:sz w:val="28"/>
        </w:rPr>
        <w:t xml:space="preserve"> постановляю:</w:t>
      </w:r>
    </w:p>
    <w:p w14:paraId="1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>Утвердить план противодействия коррупционным проявлениям в Собрании депутатов Звениговского муниципального района Республики Марий Эл.</w:t>
      </w:r>
    </w:p>
    <w:p w14:paraId="1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sz w:val="28"/>
        </w:rPr>
        <w:t>Контроль за исполнением настоящего постановления оставляю за собой.</w:t>
      </w:r>
    </w:p>
    <w:p w14:paraId="1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Звениговского муниципального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Н.В. Лабутина</w:t>
      </w:r>
    </w:p>
    <w:p w14:paraId="1B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C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D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E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F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0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1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2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Главы </w:t>
      </w:r>
    </w:p>
    <w:p w14:paraId="23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Звениговского муниципального района</w:t>
      </w:r>
    </w:p>
    <w:p w14:paraId="24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января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 1</w:t>
      </w:r>
    </w:p>
    <w:p w14:paraId="25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противодействия коррупционным проявлениям </w:t>
      </w:r>
    </w:p>
    <w:p w14:paraId="2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Собрании депутатов Звениговского муниципального района Республики Марий Эл 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2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7"/>
        <w:gridCol w:w="6841"/>
        <w:gridCol w:w="1623"/>
        <w:gridCol w:w="54"/>
      </w:tblGrid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в Республике Марий Эл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 осуществление корректировки муниципальной нормативной базы с учетом изменений, вносимых в антикоррупционное законодательство Российской Федерации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мер по разработке и внесению изменений плана по противодействию коррупции, предусматривающих меры,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Представление в управление Главы Республики Марий Эл по профилактике коррупционных и иных правонарушений информации об исполнении планов (программ) противодействия коррупции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запросу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1"/>
              <w:numPr>
                <w:ilvl w:val="0"/>
                <w:numId w:val="1"/>
              </w:numPr>
              <w:spacing w:after="0" w:line="276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комплекса организационных, разъяснительных и иных мер по недопущению лицами, замещающими муниципальные должности и должности муниципальной службы, поведения, которое может восприниматься окружающими как 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коррупционными рисками</w:t>
            </w:r>
          </w:p>
        </w:tc>
        <w:tc>
          <w:tcPr>
            <w:tcW w:type="dxa" w:w="1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анализа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type="dxa" w:w="1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контроля за соблюдением лицами, замещающими должности муниципальной службы,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таких лиц к ответственности в случае их несоблюдения</w:t>
            </w:r>
          </w:p>
        </w:tc>
        <w:tc>
          <w:tcPr>
            <w:tcW w:type="dxa" w:w="1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правонарушений, выполнения иной оплачиваемой работы</w:t>
            </w:r>
          </w:p>
        </w:tc>
        <w:tc>
          <w:tcPr>
            <w:tcW w:type="dxa" w:w="1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Продолжение работы по выявлению случаев несоблюдения лицами, замещающими муниципальной службы, требований о предотвращении или об урегулировании конфликта интересов, уделив первоочередное внимание выявлению скрытой афилированности. Каждый случай несоблюдения указанных требований предавать гласности</w:t>
            </w:r>
          </w:p>
        </w:tc>
        <w:tc>
          <w:tcPr>
            <w:tcW w:type="dxa" w:w="1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по контролю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type="dxa" w:w="1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Внедрение в деятельность должностных лиц, ответственных за работу по профилактике коррупционных и иных правонарушений, компьютерных программ в целях:</w:t>
            </w:r>
          </w:p>
          <w:p w14:paraId="53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проверки достоверности и полноты представляемых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</w:t>
            </w:r>
          </w:p>
          <w:p w14:paraId="54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сбора, систематизации и 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организацией входили в должностные (служебные) обязанности гражданского и муниципального служащего</w:t>
            </w:r>
          </w:p>
        </w:tc>
        <w:tc>
          <w:tcPr>
            <w:tcW w:type="dxa" w:w="1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Методическое обеспечение мер по предупреждению коррупции в организациях, подведомственных органам исполнительной власти, органам местного самоуправления, предусмотренных </w: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instrText>HYPERLINK "consultantplus://offline/ref=3B8142B9813734815D4C920D90AF86D67BC82BDE56E785167C848235EE7C17DFAE11F798210C90D485E9C9B8A99162123D4C6049y2CBL"</w:instrTex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t>статьей 13.3</w: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Федерального закона от 25 декабря 2008 г. N 273-ФЗ "О противодействии коррупции"</w:t>
            </w:r>
          </w:p>
        </w:tc>
        <w:tc>
          <w:tcPr>
            <w:tcW w:type="dxa" w:w="1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Актуализация информации на официальных сайтах органов местного самоуправления о правовых актах Российской Федерации, Республики Марий Эл по вопросам противодействия коррупции</w:t>
            </w:r>
          </w:p>
        </w:tc>
        <w:tc>
          <w:tcPr>
            <w:tcW w:type="dxa" w:w="1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type="dxa" w:w="1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функционирования "горячих линий", телефонов доверия, интерактивных сервисов на официальных 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type="dxa" w:w="1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</w:tr>
      <w:t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0"/>
              <w:numPr>
                <w:ilvl w:val="0"/>
                <w:numId w:val="1"/>
              </w:numPr>
              <w:spacing w:after="0" w:line="252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1"/>
              <w:spacing w:after="0" w:line="252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Освещение в средствах массовой информации или на официальных сайтах в информационно-телекоммуникационной сети "Интернет" материалов о ходе реализации планов по противодействию коррупции </w:t>
            </w:r>
          </w:p>
        </w:tc>
        <w:tc>
          <w:tcPr>
            <w:tcW w:type="dxa" w:w="1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</w:tr>
    </w:tbl>
    <w:p w14:paraId="6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2023-03-28T08:12:00Z</dcterms:created>
  <dcterms:modified xsi:type="dcterms:W3CDTF">2025-02-08T18:31:19Z</dcterms:modified>
</cp:coreProperties>
</file>